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9C631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>ВІДГУК</w:t>
      </w:r>
    </w:p>
    <w:p w14:paraId="13454568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>офіційного опонента</w:t>
      </w:r>
    </w:p>
    <w:p w14:paraId="63846725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>на дисертаційну роботу</w:t>
      </w:r>
    </w:p>
    <w:p w14:paraId="6975D167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>Буткевича Миколи Віталійовича</w:t>
      </w:r>
    </w:p>
    <w:p w14:paraId="67EF49E3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>на тему «Моделі, методи та інформаційна технологія прогнозування часових рядів епідемічних процесів»,</w:t>
      </w:r>
    </w:p>
    <w:p w14:paraId="61F271C3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>представлену на здобуття ступеня доктора філософії</w:t>
      </w:r>
    </w:p>
    <w:p w14:paraId="2D03400D" w14:textId="77777777" w:rsidR="005976CD" w:rsidRDefault="00427218">
      <w:pPr>
        <w:spacing w:after="120" w:line="360" w:lineRule="auto"/>
        <w:jc w:val="center"/>
      </w:pPr>
      <w:r>
        <w:rPr>
          <w:rFonts w:ascii="Times New Roman" w:hAnsi="Times New Roman" w:cs="Times New Roman"/>
          <w:b/>
          <w:sz w:val="28"/>
        </w:rPr>
        <w:t xml:space="preserve">в галузі знань 12 </w:t>
      </w:r>
      <w:r>
        <w:rPr>
          <w:rFonts w:ascii="Times New Roman" w:hAnsi="Times New Roman" w:cs="Times New Roman"/>
          <w:b/>
          <w:sz w:val="28"/>
        </w:rPr>
        <w:t>Інформаційні технології за спеціальністю 122 Комп'ютерні науки</w:t>
      </w:r>
    </w:p>
    <w:p w14:paraId="70BCF003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Актуальність теми дисертації.</w:t>
      </w:r>
    </w:p>
    <w:p w14:paraId="1B509343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Математичне моделювання та прогнозування часових рядів - фундаментальний напрям прикладної математики, що історично розвивався у межах теорії стаціонарних та неста</w:t>
      </w:r>
      <w:r>
        <w:rPr>
          <w:rFonts w:ascii="Times New Roman" w:hAnsi="Times New Roman" w:cs="Times New Roman"/>
          <w:sz w:val="28"/>
        </w:rPr>
        <w:t>ціонарних стохастичних процесів і дав сформований апарат авторегресійних інтегрованих моделей ковзного середнього (ARIMA, SARIMA, SARIMAX). Цей апарат добре зарекомендував себе для рядів зі слабкою нелінійністю та стійкою сезонною компонентою, проте його з</w:t>
      </w:r>
      <w:r>
        <w:rPr>
          <w:rFonts w:ascii="Times New Roman" w:hAnsi="Times New Roman" w:cs="Times New Roman"/>
          <w:sz w:val="28"/>
        </w:rPr>
        <w:t>астосовність обмежена припущеннями лінійності й стаціонарності, що порушуються для епідемічних рядів зі складною багатомасштабною сезонністю, нелінійними піками та структурними зламами природного та соціального походження.</w:t>
      </w:r>
    </w:p>
    <w:p w14:paraId="7D2E21AA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Розвиток методів обчислювального </w:t>
      </w:r>
      <w:r>
        <w:rPr>
          <w:rFonts w:ascii="Times New Roman" w:hAnsi="Times New Roman" w:cs="Times New Roman"/>
          <w:sz w:val="28"/>
        </w:rPr>
        <w:t>штучного інтелекту, передусім рекурентних нейронних мереж з довгою короткочасною пам'яттю, відкриває принципову можливість побудови нелінійних прогнозних моделей без апріорної специфікації функціональної форми залежностей. Водночас питання вибору архітекту</w:t>
      </w:r>
      <w:r>
        <w:rPr>
          <w:rFonts w:ascii="Times New Roman" w:hAnsi="Times New Roman" w:cs="Times New Roman"/>
          <w:sz w:val="28"/>
        </w:rPr>
        <w:t xml:space="preserve">ри LSTM-мережі залежно від довжини й характеру ряду, способу кодування сезонних ознак та узгодженого використання нейромережевих і </w:t>
      </w:r>
      <w:r>
        <w:rPr>
          <w:rFonts w:ascii="Times New Roman" w:hAnsi="Times New Roman" w:cs="Times New Roman"/>
          <w:sz w:val="28"/>
        </w:rPr>
        <w:lastRenderedPageBreak/>
        <w:t>статистичних моделей у єдиному обчислювальному конвеєрі залишаються відкритими. Додаткової актуальності темі надає необхідніс</w:t>
      </w:r>
      <w:r>
        <w:rPr>
          <w:rFonts w:ascii="Times New Roman" w:hAnsi="Times New Roman" w:cs="Times New Roman"/>
          <w:sz w:val="28"/>
        </w:rPr>
        <w:t>ть побудови прогнозних моделей в умовах воєнного стану в Україні - за обмежених обчислювальних ресурсів та неповноти первинних даних, - що й обумовлює актуальність дисертаційного дослідження.</w:t>
      </w:r>
    </w:p>
    <w:p w14:paraId="6DCE7D07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Достовірність та обґрунтованість наукових результатів і висновкі</w:t>
      </w:r>
      <w:r>
        <w:rPr>
          <w:rFonts w:ascii="Times New Roman" w:hAnsi="Times New Roman" w:cs="Times New Roman"/>
          <w:b/>
          <w:sz w:val="28"/>
        </w:rPr>
        <w:t>в роботи.</w:t>
      </w:r>
    </w:p>
    <w:p w14:paraId="259F6291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Достовірність та обґрунтованість отриманих наукових результатів підтверджується коректним застосуванням математичного апарату авторегресійних інтегрованих моделей ковзного середнього (ARIMA, SARIMA, SARIMAX) та рекурентних нейронних мереж з довго</w:t>
      </w:r>
      <w:r>
        <w:rPr>
          <w:rFonts w:ascii="Times New Roman" w:hAnsi="Times New Roman" w:cs="Times New Roman"/>
          <w:sz w:val="28"/>
        </w:rPr>
        <w:t>ю короткочасною пам'яттю, а також відповідністю обраних метрик оцінювання (MAE, MSE, RMSE, MAPE) задачі багатокрокового прогнозування часових рядів. Числові результати, представлені автором за трьома експериментальними ітераціями, є відтворюваними та узгод</w:t>
      </w:r>
      <w:r>
        <w:rPr>
          <w:rFonts w:ascii="Times New Roman" w:hAnsi="Times New Roman" w:cs="Times New Roman"/>
          <w:sz w:val="28"/>
        </w:rPr>
        <w:t>женими між собою; значення MAPE кумулятивного прогнозу для гепатиту C на рівні 0,28% та для гепатиту B на рівні 0,82–0,85% коректно проінтерпретовані з урахуванням переходу до кумулятивного представлення ряду.</w:t>
      </w:r>
    </w:p>
    <w:p w14:paraId="6E95133D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 xml:space="preserve">Основні нові наукові результати дисертаційної </w:t>
      </w:r>
      <w:r>
        <w:rPr>
          <w:rFonts w:ascii="Times New Roman" w:hAnsi="Times New Roman" w:cs="Times New Roman"/>
          <w:b/>
          <w:sz w:val="28"/>
        </w:rPr>
        <w:t>роботи полягають у наступному:</w:t>
      </w:r>
    </w:p>
    <w:p w14:paraId="680FFEB3" w14:textId="77777777" w:rsidR="005976CD" w:rsidRDefault="005976CD">
      <w:pPr>
        <w:spacing w:after="0" w:line="360" w:lineRule="auto"/>
        <w:ind w:firstLine="709"/>
        <w:jc w:val="both"/>
      </w:pPr>
    </w:p>
    <w:p w14:paraId="48AAF676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Уперше запропоновано метод кумулятивного представлення епідемічних часових рядів для прогнозування мережами довгої короткочасної пам'яті, заснований на принципі заміни рівневих значень кількості випадків захворювання наро</w:t>
      </w:r>
      <w:r>
        <w:rPr>
          <w:rFonts w:ascii="Times New Roman" w:hAnsi="Times New Roman" w:cs="Times New Roman"/>
          <w:sz w:val="28"/>
        </w:rPr>
        <w:t>стаючим підсумком від початку періоду спостереження з подальшою min-max нормалізацією, параметри якої обчислюються виключно на навчальній вибірці, який відрізняється від існуючих підходів до прогнозування захворюваності використанням монотонно зростаючої т</w:t>
      </w:r>
      <w:r>
        <w:rPr>
          <w:rFonts w:ascii="Times New Roman" w:hAnsi="Times New Roman" w:cs="Times New Roman"/>
          <w:sz w:val="28"/>
        </w:rPr>
        <w:t xml:space="preserve">раєкторії, що згладжує </w:t>
      </w:r>
      <w:r>
        <w:rPr>
          <w:rFonts w:ascii="Times New Roman" w:hAnsi="Times New Roman" w:cs="Times New Roman"/>
          <w:sz w:val="28"/>
        </w:rPr>
        <w:lastRenderedPageBreak/>
        <w:t>короткострокові флуктуації та знижує відносну дисперсію, що дозволяє знизити середню абсолютну відсоткову похибку прогнозування у 16–94 рази залежно від захворювання (до 0,28% для гепатиту C, 0,82–0,85% для гепатиту B).</w:t>
      </w:r>
    </w:p>
    <w:p w14:paraId="61BDFA1C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>Уперше зап</w:t>
      </w:r>
      <w:r>
        <w:rPr>
          <w:rFonts w:ascii="Times New Roman" w:hAnsi="Times New Roman" w:cs="Times New Roman"/>
          <w:sz w:val="28"/>
        </w:rPr>
        <w:t>ропоновано метод циклічного кодування сезонних ознак для LSTM моделей епідемічного прогнозування, заснований на тригонометричному відображенні дискретного часового індексу на одиничне коло у двовимірному просторі за допомогою синусоїдальної та косинусоїдал</w:t>
      </w:r>
      <w:r>
        <w:rPr>
          <w:rFonts w:ascii="Times New Roman" w:hAnsi="Times New Roman" w:cs="Times New Roman"/>
          <w:sz w:val="28"/>
        </w:rPr>
        <w:t>ьної функцій від номера місяця, який відрізняється від існуючих підходів до моделювання сезонності в епідемічних нейромережевих моделях забезпеченням безперервності та рівновіддаленості сусідніх місяців, включаючи перехід грудень–січень, що дозволяє покращ</w:t>
      </w:r>
      <w:r>
        <w:rPr>
          <w:rFonts w:ascii="Times New Roman" w:hAnsi="Times New Roman" w:cs="Times New Roman"/>
          <w:sz w:val="28"/>
        </w:rPr>
        <w:t>ити точність прогнозування на 46,6% порівняно з моделями без явних сезонних ознак.</w:t>
      </w:r>
    </w:p>
    <w:p w14:paraId="5030FDEE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 xml:space="preserve">3. </w:t>
      </w:r>
      <w:r>
        <w:rPr>
          <w:rFonts w:ascii="Times New Roman" w:hAnsi="Times New Roman" w:cs="Times New Roman"/>
          <w:sz w:val="28"/>
        </w:rPr>
        <w:t>Удосконалено метод валідації прогностичних моделей епідемічних часових рядів для коротких вибірок від 72 місяців в умовах структурних зламів, заснований на стратегії walk</w:t>
      </w:r>
      <w:r>
        <w:rPr>
          <w:rFonts w:ascii="Times New Roman" w:hAnsi="Times New Roman" w:cs="Times New Roman"/>
          <w:sz w:val="28"/>
        </w:rPr>
        <w:t>-forward з послідовним розширенням навчального вікна та принципі строгої темпоральної каузальності, який відрізняється від існуючих обов'язковим обчисленням параметрів усіх трансформацій, включаючи нормалізацію та формування ознак, виключно на навчальній ч</w:t>
      </w:r>
      <w:r>
        <w:rPr>
          <w:rFonts w:ascii="Times New Roman" w:hAnsi="Times New Roman" w:cs="Times New Roman"/>
          <w:sz w:val="28"/>
        </w:rPr>
        <w:t>астині вибірки на кожному кроці, що дозволяє отримати реалістичну оцінку продуктивності моделі в режимі послідовного прогнозування та запобігає витоку інформації з тестового періоду.</w:t>
      </w:r>
    </w:p>
    <w:p w14:paraId="028A73AC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 xml:space="preserve">4. </w:t>
      </w:r>
      <w:r>
        <w:rPr>
          <w:rFonts w:ascii="Times New Roman" w:hAnsi="Times New Roman" w:cs="Times New Roman"/>
          <w:sz w:val="28"/>
        </w:rPr>
        <w:t>Набула подальшого розвитку архітектура LSTM мереж для епідемічного про</w:t>
      </w:r>
      <w:r>
        <w:rPr>
          <w:rFonts w:ascii="Times New Roman" w:hAnsi="Times New Roman" w:cs="Times New Roman"/>
          <w:sz w:val="28"/>
        </w:rPr>
        <w:t>гнозування, заснована на принципі ієрархічного представлення часових залежностей із адаптацією складності моделі до обсягу та характеру доступних даних, яка відрізняється від існуючих систематичним емпіричним обґрунтуванням достатності компактних двошарови</w:t>
      </w:r>
      <w:r>
        <w:rPr>
          <w:rFonts w:ascii="Times New Roman" w:hAnsi="Times New Roman" w:cs="Times New Roman"/>
          <w:sz w:val="28"/>
        </w:rPr>
        <w:t xml:space="preserve">х конфігурацій з 64 одиницями пам'яті на шар для коротких рядів від 72 місяців та необхідності глибоких тришарових пірамідальних архітектур з 11,89 мільйонами параметрів </w:t>
      </w:r>
      <w:r>
        <w:rPr>
          <w:rFonts w:ascii="Times New Roman" w:hAnsi="Times New Roman" w:cs="Times New Roman"/>
          <w:sz w:val="28"/>
        </w:rPr>
        <w:lastRenderedPageBreak/>
        <w:t>для рядів з множинними сезонними компонентами та структурними зламами, що дозволяє заб</w:t>
      </w:r>
      <w:r>
        <w:rPr>
          <w:rFonts w:ascii="Times New Roman" w:hAnsi="Times New Roman" w:cs="Times New Roman"/>
          <w:sz w:val="28"/>
        </w:rPr>
        <w:t>езпечити навчання моделей за 40 секунд на стандартному CPU без GPU-прискорювачів та обирати архітектуру з мінімальними обчислювальними витратами без втрати точності прогнозування.</w:t>
      </w:r>
    </w:p>
    <w:p w14:paraId="148449A8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 xml:space="preserve">5. </w:t>
      </w:r>
      <w:r>
        <w:rPr>
          <w:rFonts w:ascii="Times New Roman" w:hAnsi="Times New Roman" w:cs="Times New Roman"/>
          <w:sz w:val="28"/>
        </w:rPr>
        <w:t>Набула подальшого розвитку архітектура інформаційної технології прогнозув</w:t>
      </w:r>
      <w:r>
        <w:rPr>
          <w:rFonts w:ascii="Times New Roman" w:hAnsi="Times New Roman" w:cs="Times New Roman"/>
          <w:sz w:val="28"/>
        </w:rPr>
        <w:t xml:space="preserve">ання інфекційної захворюваності, заснована на розділенні тренувального та інференсного шарів з версіонованим сховищем артефактів моделей, яка відрізняється від існуючих інтеграцією статистичних моделей ARIMA та нейромережевих моделей LSTM у єдиний конвеєр </w:t>
      </w:r>
      <w:r>
        <w:rPr>
          <w:rFonts w:ascii="Times New Roman" w:hAnsi="Times New Roman" w:cs="Times New Roman"/>
          <w:sz w:val="28"/>
        </w:rPr>
        <w:t>з автоматизованим контролем якості через маніфести версій та метрики валідації, що дозволяє забезпечити відтворюваність прогнозів та оперативне перенавчання при надходженні нових епідемічних даних.</w:t>
      </w:r>
    </w:p>
    <w:p w14:paraId="320A600A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Поставлене в дисертаційній роботі наукове завдання виконан</w:t>
      </w:r>
      <w:r>
        <w:rPr>
          <w:rFonts w:ascii="Times New Roman" w:hAnsi="Times New Roman" w:cs="Times New Roman"/>
          <w:sz w:val="28"/>
        </w:rPr>
        <w:t>о повністю, здобувач повною мірою оволодів методологією наукової діяльності.</w:t>
      </w:r>
    </w:p>
    <w:p w14:paraId="53133E57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Повнота відображення результатів досліджень у наукових публікаціях здобувача.</w:t>
      </w:r>
    </w:p>
    <w:p w14:paraId="244B803A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Дослідження, результати яких викладено в дисертації, виконано на кафедрі математичного моделювання та</w:t>
      </w:r>
      <w:r>
        <w:rPr>
          <w:rFonts w:ascii="Times New Roman" w:hAnsi="Times New Roman" w:cs="Times New Roman"/>
          <w:sz w:val="28"/>
        </w:rPr>
        <w:t xml:space="preserve"> штучного інтелекту Національного аерокосмічного університету «Харківський авіаційний інститут» в рамках виконання науково-дослідних робіт за проєктами «Мультидисциплінарне дослідження впливу надзвичайних ситуацій на поширення інфекційних захворювань для п</w:t>
      </w:r>
      <w:r>
        <w:rPr>
          <w:rFonts w:ascii="Times New Roman" w:hAnsi="Times New Roman" w:cs="Times New Roman"/>
          <w:sz w:val="28"/>
        </w:rPr>
        <w:t>ідтримки прийняття управлінських рішень у сфері біобезпеки населення» (Національний фонд досліджень України, № 2023.03/0197) та «Моделювання та прогнозування поширення інфекцій у воєнних та повоєнних умовах з використанням даних епідеміологічного, поведінк</w:t>
      </w:r>
      <w:r>
        <w:rPr>
          <w:rFonts w:ascii="Times New Roman" w:hAnsi="Times New Roman" w:cs="Times New Roman"/>
          <w:sz w:val="28"/>
        </w:rPr>
        <w:t>ового та геномного спостереження» (фінансування Національною академією наук США (US NAS) через Науково-технологічний центр в Україні (STCU), № 7136).</w:t>
      </w:r>
    </w:p>
    <w:p w14:paraId="7F82E4C4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lastRenderedPageBreak/>
        <w:t>Основні положення, ідеї та висновки дисертаційної роботи висвітлено у 23 наукових публікаціях здобувача, у</w:t>
      </w:r>
      <w:r>
        <w:rPr>
          <w:rFonts w:ascii="Times New Roman" w:hAnsi="Times New Roman" w:cs="Times New Roman"/>
          <w:sz w:val="28"/>
        </w:rPr>
        <w:t xml:space="preserve"> тому числі: 5 статей у періодичних наукових виданнях, проіндексованих у наукометричній базі Scopus (дві статті у закордонних виданнях - одна Q1, одна Q2; три статті у наукових фахових виданнях України категорії А - Q3); 8 публікацій у матеріалах міжнародн</w:t>
      </w:r>
      <w:r>
        <w:rPr>
          <w:rFonts w:ascii="Times New Roman" w:hAnsi="Times New Roman" w:cs="Times New Roman"/>
          <w:sz w:val="28"/>
        </w:rPr>
        <w:t xml:space="preserve">их науково-практичних конференцій, індексованих у Scopus; 2 публікації у матеріалах міжнародних науково-практичних конференцій; 8 свідоцтв про реєстрацію авторського права на комп'ютерні програми. Результати дисертації доповідалися та обговорювалися на IV </w:t>
      </w:r>
      <w:r>
        <w:rPr>
          <w:rFonts w:ascii="Times New Roman" w:hAnsi="Times New Roman" w:cs="Times New Roman"/>
          <w:sz w:val="28"/>
        </w:rPr>
        <w:t>та V Міжнародних науково-практичних конференціях «ProfIT Conference» (м. Харків, Україна, 2021, 2023); 4th та 5th International Workshop of IT-professionals on Artificial Intelligence ProfIT AI (м. Кембрідж, США, 2024; м. Ліверпуль, Велика Британія, 2025);</w:t>
      </w:r>
      <w:r>
        <w:rPr>
          <w:rFonts w:ascii="Times New Roman" w:hAnsi="Times New Roman" w:cs="Times New Roman"/>
          <w:sz w:val="28"/>
        </w:rPr>
        <w:t xml:space="preserve"> 7th International Conference on Informatics &amp; Data-Driven Medicine IDDM 2024 (м. Бірмінгем, Велика Британія, 2024); 2024 14th International Conference on Dependable Systems, Services and Technologies DESSERT 2024 (м. Афіни, Греція, 2024); 2024 IEEE 17th I</w:t>
      </w:r>
      <w:r>
        <w:rPr>
          <w:rFonts w:ascii="Times New Roman" w:hAnsi="Times New Roman" w:cs="Times New Roman"/>
          <w:sz w:val="28"/>
        </w:rPr>
        <w:t>nternational Conference on Advanced Trends in Radioelectronics, Telecommunications and Computer Engineering TCSET 2024 (м. Львів - Славське, Україна, 2024); International Conference «Integrated Computer Technologies in Mechanical Engineering - 2024» (м. Ха</w:t>
      </w:r>
      <w:r>
        <w:rPr>
          <w:rFonts w:ascii="Times New Roman" w:hAnsi="Times New Roman" w:cs="Times New Roman"/>
          <w:sz w:val="28"/>
        </w:rPr>
        <w:t xml:space="preserve">рків, Україна, 2024); 2025 15th International Conference on Advanced Computer Information Technologies ACIT 2025 (м. Сібернік, Хорватія, 2025); International Conferences on Applied Computing and WWW/Internet 2025 (м. Порту, Португалія, 2025). Опубліковані </w:t>
      </w:r>
      <w:r>
        <w:rPr>
          <w:rFonts w:ascii="Times New Roman" w:hAnsi="Times New Roman" w:cs="Times New Roman"/>
          <w:sz w:val="28"/>
        </w:rPr>
        <w:t>матеріали повністю відображають зміст дисертації та відповідають вимогам пункту 8 «Порядку присудження ступеня доктора філософії…», затвердженого Постановою КМУ від 12.01.2022 р. № 44.</w:t>
      </w:r>
    </w:p>
    <w:p w14:paraId="5B8F4024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Наукове та практичне значення отриманих результатів.</w:t>
      </w:r>
    </w:p>
    <w:p w14:paraId="219C988B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Наукове значення о</w:t>
      </w:r>
      <w:r>
        <w:rPr>
          <w:rFonts w:ascii="Times New Roman" w:hAnsi="Times New Roman" w:cs="Times New Roman"/>
          <w:sz w:val="28"/>
        </w:rPr>
        <w:t xml:space="preserve">триманих результатів полягає у розширенні математичного апарату прогнозування нестаціонарних часових рядів засобами </w:t>
      </w:r>
      <w:r>
        <w:rPr>
          <w:rFonts w:ascii="Times New Roman" w:hAnsi="Times New Roman" w:cs="Times New Roman"/>
          <w:sz w:val="28"/>
        </w:rPr>
        <w:lastRenderedPageBreak/>
        <w:t>рекурентних нейронних мереж, обґрунтуванні принципів вибору архітектури LSTM-мережі залежно від довжини та характеру ряду, а також у формува</w:t>
      </w:r>
      <w:r>
        <w:rPr>
          <w:rFonts w:ascii="Times New Roman" w:hAnsi="Times New Roman" w:cs="Times New Roman"/>
          <w:sz w:val="28"/>
        </w:rPr>
        <w:t>нні методики циклічного кодування сезонних ознак. Практичне значення визначається готовою до використання інформаційною технологією - комплексом програм мовою Python з версіонованим сховищем артефактів моделей, який забезпечує відтворюваність прогнозів і о</w:t>
      </w:r>
      <w:r>
        <w:rPr>
          <w:rFonts w:ascii="Times New Roman" w:hAnsi="Times New Roman" w:cs="Times New Roman"/>
          <w:sz w:val="28"/>
        </w:rPr>
        <w:t>перативне перенавчання при надходженні нових даних епідемічного нагляду; компактні моделі навчаються за лічені десятки секунд на стандартному CPU без використання GPU-прискорювачів.</w:t>
      </w:r>
    </w:p>
    <w:p w14:paraId="0F94E2D1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Розроблені моделі, методи та програмне забезпечення впроваджено у </w:t>
      </w:r>
      <w:r>
        <w:rPr>
          <w:rFonts w:ascii="Times New Roman" w:hAnsi="Times New Roman" w:cs="Times New Roman"/>
          <w:sz w:val="28"/>
        </w:rPr>
        <w:t>практичну діяльність Державної установи «Харківський обласний центр контролю та профілактики хвороб Міністерства охорони здоров'я України» (акт впровадження від 26 листопада 2025 р.); у навчальний процес кафедри епідеміології Харківського національного мед</w:t>
      </w:r>
      <w:r>
        <w:rPr>
          <w:rFonts w:ascii="Times New Roman" w:hAnsi="Times New Roman" w:cs="Times New Roman"/>
          <w:sz w:val="28"/>
        </w:rPr>
        <w:t>ичного університету (акт впровадження від 10 січня 2026 р.); у науково-дослідну роботу кафедри епідеміології Харківського національного медичного університету в рамках міжнародного проєкту STCU № 7136 (акт впровадження від 5 січня 2026 р.); у практичну дія</w:t>
      </w:r>
      <w:r>
        <w:rPr>
          <w:rFonts w:ascii="Times New Roman" w:hAnsi="Times New Roman" w:cs="Times New Roman"/>
          <w:sz w:val="28"/>
        </w:rPr>
        <w:t>льність Комунального некомерційного підприємства «Міська клінічна лікарня № 13» Харківської міської ради (акти впровадження від 15 листопада 2025 р. та від 17 листопада 2025 р.).</w:t>
      </w:r>
    </w:p>
    <w:p w14:paraId="5DCE28FE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Структура та зміст дисертаційної роботи.</w:t>
      </w:r>
    </w:p>
    <w:p w14:paraId="49077389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Дисертаційна робота структурно склад</w:t>
      </w:r>
      <w:r>
        <w:rPr>
          <w:rFonts w:ascii="Times New Roman" w:hAnsi="Times New Roman" w:cs="Times New Roman"/>
          <w:sz w:val="28"/>
        </w:rPr>
        <w:t>ається з анотації, змісту, переліку умовних скорочень, вступу, чотирьох розділів, висновків, списку використаних джерел та додатків. Повний обсяг роботи становить 211 сторінок друкованого тексту, з них основний текст - 164 стор., список зі 143 використаних</w:t>
      </w:r>
      <w:r>
        <w:rPr>
          <w:rFonts w:ascii="Times New Roman" w:hAnsi="Times New Roman" w:cs="Times New Roman"/>
          <w:sz w:val="28"/>
        </w:rPr>
        <w:t xml:space="preserve"> джерел - 18 стор., додатки - 12 стор. Дисертація містить 28 рисунків та 20 таблиць. Загальний обсяг та співвідношення обсягів розділів відповідають характеру вирішуваних </w:t>
      </w:r>
      <w:r>
        <w:rPr>
          <w:rFonts w:ascii="Times New Roman" w:hAnsi="Times New Roman" w:cs="Times New Roman"/>
          <w:sz w:val="28"/>
        </w:rPr>
        <w:lastRenderedPageBreak/>
        <w:t>задач, а логіка викладу - від огляду методів до експериментальної верифікації - забез</w:t>
      </w:r>
      <w:r>
        <w:rPr>
          <w:rFonts w:ascii="Times New Roman" w:hAnsi="Times New Roman" w:cs="Times New Roman"/>
          <w:sz w:val="28"/>
        </w:rPr>
        <w:t>печує наскрізну простежуваність наукових результатів.</w:t>
      </w:r>
    </w:p>
    <w:p w14:paraId="3DE831C0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Структура дисертаційної роботи відповідає логіці дослідження: вступ, чотири розділи, висновки, список використаних джерел та додатки. У вступі сформульовано мету, об'єкт, предмет і завдання дослідження,</w:t>
      </w:r>
      <w:r>
        <w:rPr>
          <w:rFonts w:ascii="Times New Roman" w:hAnsi="Times New Roman" w:cs="Times New Roman"/>
          <w:sz w:val="28"/>
        </w:rPr>
        <w:t xml:space="preserve"> охарактеризовано наукову новизну та практичне значення отриманих результатів.</w:t>
      </w:r>
    </w:p>
    <w:p w14:paraId="0FC96A92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Перший розділ присвячено аналізу сучасних підходів до прогнозування епідемічних процесів. Здобувач проводить порівняння методів за критеріями точності, обчислювальної складності</w:t>
      </w:r>
      <w:r>
        <w:rPr>
          <w:rFonts w:ascii="Times New Roman" w:hAnsi="Times New Roman" w:cs="Times New Roman"/>
          <w:sz w:val="28"/>
        </w:rPr>
        <w:t xml:space="preserve"> та придатності для коротких рядів, що дозволяє йому коректно сформулювати задачі власного дослідження.</w:t>
      </w:r>
    </w:p>
    <w:p w14:paraId="3D0A1205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У другому розділі представлено математичну формалізацію моделей ARIMA(p,d,q) та SARIMA(p,d,q)(P,D,Q)s, а також архітектури рекурентних мереж з довгою ко</w:t>
      </w:r>
      <w:r>
        <w:rPr>
          <w:rFonts w:ascii="Times New Roman" w:hAnsi="Times New Roman" w:cs="Times New Roman"/>
          <w:sz w:val="28"/>
        </w:rPr>
        <w:t>роткочасною пам'яттю. Детально описано систему вентилів LSTM-комірки, рівняння оновлення прихованого стану та стану комірки, функції активації. Введено набір метрик оцінювання (MAE, MSE, RMSE, MAPE) та сформульовано стратегію walk-forward валідації з розши</w:t>
      </w:r>
      <w:r>
        <w:rPr>
          <w:rFonts w:ascii="Times New Roman" w:hAnsi="Times New Roman" w:cs="Times New Roman"/>
          <w:sz w:val="28"/>
        </w:rPr>
        <w:t>рюваним навчальним вікном - це створює коректну методичну базу для подальшого числового експерименту.</w:t>
      </w:r>
    </w:p>
    <w:p w14:paraId="46621F62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Третій розділ містить методичні вдосконалення: кумулятивне представлення часових рядів та циклічне (sin/cos) кодування сезонних ознак. Окрему увагу приділ</w:t>
      </w:r>
      <w:r>
        <w:rPr>
          <w:rFonts w:ascii="Times New Roman" w:hAnsi="Times New Roman" w:cs="Times New Roman"/>
          <w:sz w:val="28"/>
        </w:rPr>
        <w:t>ено архітектурі вебзастосунку для онлайн-трекінгу прогнозів з розділеними тренувальним та інференсним шарами і версіонованим сховищем артефактів моделей.</w:t>
      </w:r>
    </w:p>
    <w:p w14:paraId="3D5ADD13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Найбільш ємним за числовими результатами є четвертий розділ. У першій ітерації експерименту базова дво</w:t>
      </w:r>
      <w:r>
        <w:rPr>
          <w:rFonts w:ascii="Times New Roman" w:hAnsi="Times New Roman" w:cs="Times New Roman"/>
          <w:sz w:val="28"/>
        </w:rPr>
        <w:t xml:space="preserve">шарова архітектура 2×LSTM(64) забезпечила MAPE = 5,40% для гострого гепатиту A в Україні, а тришарова пірамідальна 3×LSTM(256/128/64) - MAPE = 6,98% у фізичних одиницях для сальмонельозу. Друга ітерація присвячена побудові ARIMA-моделей для лептоспірозу в </w:t>
      </w:r>
      <w:r>
        <w:rPr>
          <w:rFonts w:ascii="Times New Roman" w:hAnsi="Times New Roman" w:cs="Times New Roman"/>
          <w:sz w:val="28"/>
        </w:rPr>
        <w:t xml:space="preserve">Естонії, </w:t>
      </w:r>
      <w:r>
        <w:rPr>
          <w:rFonts w:ascii="Times New Roman" w:hAnsi="Times New Roman" w:cs="Times New Roman"/>
          <w:sz w:val="28"/>
        </w:rPr>
        <w:lastRenderedPageBreak/>
        <w:t>Литві та Латвії та грипу в Харківській області. Третя ітерація демонструє ключові кількісні результати роботи: для гострого та хронічного гепатиту B (2018–2023) MAPE кумулятивного прогнозу становить 0,82–0,85% (покращення у 16–21 раз порівняно з п</w:t>
      </w:r>
      <w:r>
        <w:rPr>
          <w:rFonts w:ascii="Times New Roman" w:hAnsi="Times New Roman" w:cs="Times New Roman"/>
          <w:sz w:val="28"/>
        </w:rPr>
        <w:t>рогнозом у фізичних одиницях), для гепатиту C - MAPE = 0,28% (покращення у 94 рази); для ГРВІ глибока пірамідальна архітектура 3×LSTM(300/1200/600) з 11,89 млн параметрів та циклічними сезонними ознаками забезпечила суттєве зниження похибки за включення да</w:t>
      </w:r>
      <w:r>
        <w:rPr>
          <w:rFonts w:ascii="Times New Roman" w:hAnsi="Times New Roman" w:cs="Times New Roman"/>
          <w:sz w:val="28"/>
        </w:rPr>
        <w:t>них воєнного періоду. Окремо представлено контрфактуальний аналіз впливу повномасштабного вторгнення на динаміку COVID-19 у Польщі. Розділ завершується порівняльним аналізом LSTM- та ARIMA-підходів за критеріями точності та обчислювальної ефективності.</w:t>
      </w:r>
    </w:p>
    <w:p w14:paraId="61E00003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Вис</w:t>
      </w:r>
      <w:r>
        <w:rPr>
          <w:rFonts w:ascii="Times New Roman" w:hAnsi="Times New Roman" w:cs="Times New Roman"/>
          <w:sz w:val="28"/>
        </w:rPr>
        <w:t>новки повно та чітко резюмують отримані результати. Список джерел і додатки оформлені відповідно до вимог.</w:t>
      </w:r>
    </w:p>
    <w:p w14:paraId="696D5252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Дотримання принципів академічної доброчесності.</w:t>
      </w:r>
    </w:p>
    <w:p w14:paraId="21FC0ED3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Розгляд звіту перевірки роботи на текстові співпадіння та змісту дисертації дає підстави констатувати</w:t>
      </w:r>
      <w:r>
        <w:rPr>
          <w:rFonts w:ascii="Times New Roman" w:hAnsi="Times New Roman" w:cs="Times New Roman"/>
          <w:sz w:val="28"/>
        </w:rPr>
        <w:t>, що дисертаційна робота Буткевича Миколи Віталійовича виконана самостійно і не містить ознак фальсифікації, компіляції, фабрикації та плагіату; запозичення супроводжено належними посиланнями. Виявлені текстові співпадіння є посиланнями на власні раніше оп</w:t>
      </w:r>
      <w:r>
        <w:rPr>
          <w:rFonts w:ascii="Times New Roman" w:hAnsi="Times New Roman" w:cs="Times New Roman"/>
          <w:sz w:val="28"/>
        </w:rPr>
        <w:t>убліковані наукові праці здобувача. Принципи академічної доброчесності у роботі дотримано.</w:t>
      </w:r>
    </w:p>
    <w:p w14:paraId="5DD171DE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Мова та стиль викладення результатів.</w:t>
      </w:r>
    </w:p>
    <w:p w14:paraId="470A3AD9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Дисертаційна робота написана українською мовою у науковому стилі; математичні позначення, термінологія та формулювання теорем і</w:t>
      </w:r>
      <w:r>
        <w:rPr>
          <w:rFonts w:ascii="Times New Roman" w:hAnsi="Times New Roman" w:cs="Times New Roman"/>
          <w:sz w:val="28"/>
        </w:rPr>
        <w:t xml:space="preserve"> означень узгоджені та коректні. Виклад матеріалу є послідовним і завершеним, обґрунтування числових результатів - повним; робота супроводжується </w:t>
      </w:r>
      <w:r>
        <w:rPr>
          <w:rFonts w:ascii="Times New Roman" w:hAnsi="Times New Roman" w:cs="Times New Roman"/>
          <w:sz w:val="28"/>
        </w:rPr>
        <w:lastRenderedPageBreak/>
        <w:t>ілюстративними таблицями та графіками. Оформлення дисертаційної роботи відповідає вимогам наказу МОН України в</w:t>
      </w:r>
      <w:r>
        <w:rPr>
          <w:rFonts w:ascii="Times New Roman" w:hAnsi="Times New Roman" w:cs="Times New Roman"/>
          <w:sz w:val="28"/>
        </w:rPr>
        <w:t>ід 12 січня 2017 р. № 40.</w:t>
      </w:r>
    </w:p>
    <w:p w14:paraId="6E807191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Зауваження до дисертаційної роботи.</w:t>
      </w:r>
    </w:p>
    <w:p w14:paraId="5091C69B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Зауваження щодо дисертаційної роботи полягають у наступному.</w:t>
      </w:r>
    </w:p>
    <w:p w14:paraId="037CF6C3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1. У підрозділі 4.4 здійснено порівняння LSTM- та ARIMA-моделей за значеннями MAPE й RMSE на тестових вибірках; водночас процедура пр</w:t>
      </w:r>
      <w:r>
        <w:rPr>
          <w:rFonts w:ascii="Times New Roman" w:hAnsi="Times New Roman" w:cs="Times New Roman"/>
          <w:sz w:val="28"/>
        </w:rPr>
        <w:t>ипинення навчання (еарлі стоппінг) для LSTM налаштована на валідаційну вибірку першої ітерації walk-forward, а не на фіксований тестовий період; у роботі не обговорюється, чи може це призводити до песимістичного налаштування під процедуру порівняння, тобто</w:t>
      </w:r>
      <w:r>
        <w:rPr>
          <w:rFonts w:ascii="Times New Roman" w:hAnsi="Times New Roman" w:cs="Times New Roman"/>
          <w:sz w:val="28"/>
        </w:rPr>
        <w:t xml:space="preserve"> чи відображають отримані значення MAPE реальність використання моделей у повторюваному прогнозуванні чи лише ідеальну цифру на одноразовому прогнозу без перенавчання.</w:t>
      </w:r>
    </w:p>
    <w:p w14:paraId="6C135122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2. У підрозділі 4.4.3 проведено аналіз обчислювальної ефективності розроблених моделей з</w:t>
      </w:r>
      <w:r>
        <w:rPr>
          <w:rFonts w:ascii="Times New Roman" w:hAnsi="Times New Roman" w:cs="Times New Roman"/>
          <w:sz w:val="28"/>
        </w:rPr>
        <w:t>а часом навчання на стандартному CPU (близько 40 секунд для двошарової архітектури); водночас у роботі не наведено окремих числових оцінок часу інференсу — генерації одного прогнозу через інференсний шар розробленого вебзастосунку (підрозділ 3.5), що утруд</w:t>
      </w:r>
      <w:r>
        <w:rPr>
          <w:rFonts w:ascii="Times New Roman" w:hAnsi="Times New Roman" w:cs="Times New Roman"/>
          <w:sz w:val="28"/>
        </w:rPr>
        <w:t>нює оцінку придатності системи до використання в інтерактивному режимі.</w:t>
      </w:r>
    </w:p>
    <w:p w14:paraId="3C1C6B54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3. У підрозділах 2.4 та 3.2 довжина вхідної послідовності (кількість лагових місяців, що подаються на вхід LSTM-мережі) фіксована емпірично; систематичної числової оцінки чутливості то</w:t>
      </w:r>
      <w:r>
        <w:rPr>
          <w:rFonts w:ascii="Times New Roman" w:hAnsi="Times New Roman" w:cs="Times New Roman"/>
          <w:sz w:val="28"/>
        </w:rPr>
        <w:t>чності прогнозу до цього гіперпараметра (наприклад, при варіюванні довжини вхідного вікна 6, 12, 18, 24 місяці на одній і тій самій архітектурі) у роботі не представлено, що ускладнює формулювання кількісно обґрунтованої рекомендації щодо вибору глибини ча</w:t>
      </w:r>
      <w:r>
        <w:rPr>
          <w:rFonts w:ascii="Times New Roman" w:hAnsi="Times New Roman" w:cs="Times New Roman"/>
          <w:sz w:val="28"/>
        </w:rPr>
        <w:t>сового контексту для нозологій з різною сезонною структурою.</w:t>
      </w:r>
    </w:p>
    <w:p w14:paraId="294E5799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4. Експериментальна валідація проведена на даних України та трьох країн Балтії (Естонія, Литва, Латвія); узагальнюваність розроблених архітектур та </w:t>
      </w:r>
      <w:r>
        <w:rPr>
          <w:rFonts w:ascii="Times New Roman" w:hAnsi="Times New Roman" w:cs="Times New Roman"/>
          <w:sz w:val="28"/>
        </w:rPr>
        <w:lastRenderedPageBreak/>
        <w:t>значень гіперпараметрів на дані інших географіч</w:t>
      </w:r>
      <w:r>
        <w:rPr>
          <w:rFonts w:ascii="Times New Roman" w:hAnsi="Times New Roman" w:cs="Times New Roman"/>
          <w:sz w:val="28"/>
        </w:rPr>
        <w:t>них регіонів з відмінною структурою сезонності у дисертації не верифіковано, що обмежує область безпосереднього застосування отриманих числових результатів.</w:t>
      </w:r>
    </w:p>
    <w:p w14:paraId="3D835981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5. Глибока пірамідальна архітектура 3×LSTM(300/1200/600) з 11,89 мільйонами параметрів, запропонова</w:t>
      </w:r>
      <w:r>
        <w:rPr>
          <w:rFonts w:ascii="Times New Roman" w:hAnsi="Times New Roman" w:cs="Times New Roman"/>
          <w:sz w:val="28"/>
        </w:rPr>
        <w:t>на для прогнозування ГРВІ, є значно ємнішою за двошарову 2×LSTM(64); у роботі не наведено числового порівняння цієї архітектури з її проміжними варіантами меншої розмірності (наприклад, 3×LSTM(150/600/300) або 2×LSTM(256)), що ускладнює числове обґрунтуван</w:t>
      </w:r>
      <w:r>
        <w:rPr>
          <w:rFonts w:ascii="Times New Roman" w:hAnsi="Times New Roman" w:cs="Times New Roman"/>
          <w:sz w:val="28"/>
        </w:rPr>
        <w:t>ня необхідності саме такого розміру моделі для цієї задачі.</w:t>
      </w:r>
    </w:p>
    <w:p w14:paraId="730D8A4B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Висловлені зауваження не зменшують наукової та практичної цінності виконаного дослідження і не впливають на загальну позитивну оцінку дисертаційної роботи.</w:t>
      </w:r>
    </w:p>
    <w:p w14:paraId="697F56AE" w14:textId="77777777" w:rsidR="005976CD" w:rsidRDefault="00427218">
      <w:pPr>
        <w:spacing w:before="120"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</w:rPr>
        <w:t>Загальний висновок.</w:t>
      </w:r>
    </w:p>
    <w:p w14:paraId="552D3FBB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З огляду на </w:t>
      </w:r>
      <w:r>
        <w:rPr>
          <w:rFonts w:ascii="Times New Roman" w:hAnsi="Times New Roman" w:cs="Times New Roman"/>
          <w:sz w:val="28"/>
        </w:rPr>
        <w:t>викладене, дисертаційна робота Буткевича Миколи Віталійовича на тему «Моделі, методи та інформаційна технологія прогнозування часових рядів епідемічних процесів» є завершеним науковим дослідженням, у якому за допомогою адекватного математичного апарату роз</w:t>
      </w:r>
      <w:r>
        <w:rPr>
          <w:rFonts w:ascii="Times New Roman" w:hAnsi="Times New Roman" w:cs="Times New Roman"/>
          <w:sz w:val="28"/>
        </w:rPr>
        <w:t>в'язано актуальне наукове завдання розроблення моделей, методів та інформаційної технології прогнозування часових рядів епідемічних процесів; за змістом і науковим рівнем робота відповідає спеціальності 122 Комп'ютерні науки.</w:t>
      </w:r>
    </w:p>
    <w:p w14:paraId="43F2BFB3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Дисертаційна робота Буткевича </w:t>
      </w:r>
      <w:r>
        <w:rPr>
          <w:rFonts w:ascii="Times New Roman" w:hAnsi="Times New Roman" w:cs="Times New Roman"/>
          <w:sz w:val="28"/>
        </w:rPr>
        <w:t xml:space="preserve">Миколи Віталійовича на тему «Моделі, методи та інформаційна технологія прогнозування часових рядів епідемічних процесів» за своїм змістом, структурою, обсягом та оформленням відповідає вимогам Наказу МОН України № 40 від 12.01.2017 «Про затвердження вимог </w:t>
      </w:r>
      <w:r>
        <w:rPr>
          <w:rFonts w:ascii="Times New Roman" w:hAnsi="Times New Roman" w:cs="Times New Roman"/>
          <w:sz w:val="28"/>
        </w:rPr>
        <w:t xml:space="preserve">щодо оформлення дисертації (зі змінами)» та «Порядку присудження ступеня доктора філософії та скасування рішення разової спеціалізованої вченої ради закладу вищої освіти, наукової установи про присудження ступеня доктора </w:t>
      </w:r>
      <w:r>
        <w:rPr>
          <w:rFonts w:ascii="Times New Roman" w:hAnsi="Times New Roman" w:cs="Times New Roman"/>
          <w:sz w:val="28"/>
        </w:rPr>
        <w:lastRenderedPageBreak/>
        <w:t>філософії», затвердженого Постаново</w:t>
      </w:r>
      <w:r>
        <w:rPr>
          <w:rFonts w:ascii="Times New Roman" w:hAnsi="Times New Roman" w:cs="Times New Roman"/>
          <w:sz w:val="28"/>
        </w:rPr>
        <w:t>ю Кабінету Міністрів України від 12.01.2022 р. № 44.</w:t>
      </w:r>
    </w:p>
    <w:p w14:paraId="52B11CE7" w14:textId="77777777" w:rsidR="005976CD" w:rsidRDefault="00427218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</w:rPr>
        <w:t>Таким чином, здобувач Буткевич Микола Віталійович заслуговує на присудження наукового ступен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я доктора філософії у галузі знань 12 Інформаційні технології за спеціальністю 122 Комп'ютерні науки.</w:t>
      </w:r>
    </w:p>
    <w:p w14:paraId="6FAEB2D1" w14:textId="77777777" w:rsidR="005976CD" w:rsidRDefault="005976CD"/>
    <w:p w14:paraId="1C0EE128" w14:textId="77777777" w:rsidR="005976CD" w:rsidRDefault="00427218">
      <w:r>
        <w:rPr>
          <w:rFonts w:ascii="Times New Roman" w:hAnsi="Times New Roman" w:cs="Times New Roman"/>
          <w:b/>
          <w:sz w:val="28"/>
        </w:rPr>
        <w:t>Офіційний опонент: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4"/>
        <w:gridCol w:w="4844"/>
      </w:tblGrid>
      <w:tr w:rsidR="005976CD" w14:paraId="020C8CF2" w14:textId="77777777">
        <w:tc>
          <w:tcPr>
            <w:tcW w:w="4844" w:type="dxa"/>
          </w:tcPr>
          <w:p w14:paraId="01E07E4C" w14:textId="77777777" w:rsidR="005976CD" w:rsidRDefault="00427218">
            <w:pPr>
              <w:spacing w:after="0"/>
            </w:pPr>
            <w:r>
              <w:rPr>
                <w:rFonts w:ascii="Times New Roman" w:hAnsi="Times New Roman" w:cs="Times New Roman"/>
                <w:sz w:val="28"/>
              </w:rPr>
              <w:t>кандидат технічних наук, доцент,</w:t>
            </w:r>
          </w:p>
          <w:p w14:paraId="1C59D705" w14:textId="77777777" w:rsidR="005976CD" w:rsidRDefault="00427218">
            <w:pPr>
              <w:spacing w:after="0"/>
            </w:pPr>
            <w:r>
              <w:rPr>
                <w:rFonts w:ascii="Times New Roman" w:hAnsi="Times New Roman" w:cs="Times New Roman"/>
                <w:sz w:val="28"/>
              </w:rPr>
              <w:t>завідувач кафедри математичного</w:t>
            </w:r>
          </w:p>
          <w:p w14:paraId="3D9A9124" w14:textId="77777777" w:rsidR="005976CD" w:rsidRDefault="00427218">
            <w:pPr>
              <w:spacing w:after="0"/>
            </w:pPr>
            <w:r>
              <w:rPr>
                <w:rFonts w:ascii="Times New Roman" w:hAnsi="Times New Roman" w:cs="Times New Roman"/>
                <w:sz w:val="28"/>
              </w:rPr>
              <w:t>моделювання та аналізу даних</w:t>
            </w:r>
          </w:p>
          <w:p w14:paraId="6DBEF701" w14:textId="77777777" w:rsidR="005976CD" w:rsidRDefault="00427218">
            <w:pPr>
              <w:spacing w:after="0"/>
            </w:pPr>
            <w:r>
              <w:rPr>
                <w:rFonts w:ascii="Times New Roman" w:hAnsi="Times New Roman" w:cs="Times New Roman"/>
                <w:sz w:val="28"/>
              </w:rPr>
              <w:t>Харківського національного</w:t>
            </w:r>
          </w:p>
          <w:p w14:paraId="5216D4E7" w14:textId="77777777" w:rsidR="005976CD" w:rsidRDefault="00427218">
            <w:pPr>
              <w:spacing w:after="0"/>
            </w:pPr>
            <w:r>
              <w:rPr>
                <w:rFonts w:ascii="Times New Roman" w:hAnsi="Times New Roman" w:cs="Times New Roman"/>
                <w:sz w:val="28"/>
              </w:rPr>
              <w:t>університету імені В. Н. Каразіна</w:t>
            </w:r>
          </w:p>
        </w:tc>
        <w:tc>
          <w:tcPr>
            <w:tcW w:w="4844" w:type="dxa"/>
          </w:tcPr>
          <w:p w14:paraId="50F27F5A" w14:textId="43B9C1CD" w:rsidR="005976CD" w:rsidRDefault="003E130F">
            <w:pPr>
              <w:jc w:val="right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1" locked="0" layoutInCell="1" allowOverlap="1" wp14:anchorId="484CB0F6" wp14:editId="412D9EE4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3175</wp:posOffset>
                  </wp:positionV>
                  <wp:extent cx="655320" cy="321945"/>
                  <wp:effectExtent l="0" t="0" r="0" b="190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одпись синяя.png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77000"/>
                                    </a14:imgEffect>
                                    <a14:imgEffect>
                                      <a14:brightnessContrast bright="1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321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427218">
              <w:rPr>
                <w:rFonts w:ascii="Times New Roman" w:hAnsi="Times New Roman" w:cs="Times New Roman"/>
                <w:b/>
                <w:sz w:val="28"/>
              </w:rPr>
              <w:t>Володимир</w:t>
            </w:r>
            <w:proofErr w:type="spellEnd"/>
            <w:r w:rsidR="00427218">
              <w:rPr>
                <w:rFonts w:ascii="Times New Roman" w:hAnsi="Times New Roman" w:cs="Times New Roman"/>
                <w:b/>
                <w:sz w:val="28"/>
              </w:rPr>
              <w:t xml:space="preserve"> СТРУКОВ</w:t>
            </w:r>
          </w:p>
        </w:tc>
      </w:tr>
    </w:tbl>
    <w:p w14:paraId="3687CCF2" w14:textId="7DBCB172" w:rsidR="005976CD" w:rsidRDefault="005976CD" w:rsidP="00F66B8B">
      <w:pPr>
        <w:spacing w:before="240"/>
      </w:pPr>
    </w:p>
    <w:sectPr w:rsidR="005976CD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130F"/>
    <w:rsid w:val="00427218"/>
    <w:rsid w:val="005976CD"/>
    <w:rsid w:val="00A95281"/>
    <w:rsid w:val="00AA1D8D"/>
    <w:rsid w:val="00B47730"/>
    <w:rsid w:val="00CB0664"/>
    <w:rsid w:val="00F66B8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60369"/>
  <w14:defaultImageDpi w14:val="300"/>
  <w15:docId w15:val="{06CBDD5B-5F62-4712-A491-BF9E1669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40780C-D167-4A23-8614-F2DBD066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2737</Words>
  <Characters>15605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VMC</dc:creator>
  <cp:keywords/>
  <dc:description>generated by python-docx</dc:description>
  <cp:lastModifiedBy>VMC</cp:lastModifiedBy>
  <cp:revision>2</cp:revision>
  <dcterms:created xsi:type="dcterms:W3CDTF">2026-06-05T13:51:00Z</dcterms:created>
  <dcterms:modified xsi:type="dcterms:W3CDTF">2026-06-05T13:51:00Z</dcterms:modified>
  <cp:category/>
</cp:coreProperties>
</file>